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0C" w:rsidRPr="00C30CA9" w:rsidRDefault="001A030C" w:rsidP="00BC0508">
      <w:pPr>
        <w:spacing w:line="360" w:lineRule="auto"/>
        <w:ind w:firstLine="709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de-DE"/>
        </w:rPr>
      </w:pPr>
      <w:r w:rsidRPr="00C30CA9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de-DE"/>
        </w:rPr>
        <w:t>Bericht</w:t>
      </w:r>
    </w:p>
    <w:p w:rsidR="00BC0508" w:rsidRPr="00C30CA9" w:rsidRDefault="00BC0508" w:rsidP="00BC0508">
      <w:pPr>
        <w:spacing w:line="360" w:lineRule="auto"/>
        <w:ind w:firstLine="709"/>
        <w:contextualSpacing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C628D7" w:rsidRPr="00C30CA9" w:rsidRDefault="001A030C" w:rsidP="00BC05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</w:pPr>
      <w:r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Am</w:t>
      </w:r>
      <w:r w:rsidR="00BC0508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Sonntag,</w:t>
      </w:r>
      <w:r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11. November</w:t>
      </w:r>
      <w:r w:rsidR="00BC0508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,</w:t>
      </w:r>
      <w:r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fand i</w:t>
      </w:r>
      <w:r w:rsidR="00C82BD8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m</w:t>
      </w:r>
      <w:r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Filmstudio Glückauf</w:t>
      </w:r>
      <w:r w:rsidR="00C82BD8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,</w:t>
      </w:r>
      <w:r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="00BC0508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einem der ältesten Kinos für</w:t>
      </w:r>
      <w:r w:rsidR="00C82BD8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Filmkunst in Deutschland,</w:t>
      </w:r>
      <w:r w:rsidR="00C628D7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die offizielle Veranstaltung zum 100-jährigen Gedenken des Endes des I. Weltkrieges statt. Daran nahmen die </w:t>
      </w:r>
      <w:r w:rsidR="00C30CA9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Vertreter</w:t>
      </w:r>
      <w:proofErr w:type="spellStart"/>
      <w:r w:rsidR="001957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innen</w:t>
      </w:r>
      <w:proofErr w:type="spellEnd"/>
      <w:r w:rsidR="001957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57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und</w:t>
      </w:r>
      <w:proofErr w:type="spellEnd"/>
      <w:r w:rsidR="001957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957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Vertreter</w:t>
      </w:r>
      <w:proofErr w:type="spellEnd"/>
      <w:r w:rsidR="00BC0508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der </w:t>
      </w:r>
      <w:r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Partnerstädte von Essen teil</w:t>
      </w:r>
      <w:r w:rsidR="0019577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19577B"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>Bürgermeister</w:t>
      </w:r>
      <w:r w:rsidR="001957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9577B">
        <w:rPr>
          <w:rFonts w:ascii="Arial" w:hAnsi="Arial" w:cs="Arial"/>
          <w:color w:val="000000" w:themeColor="text1"/>
          <w:sz w:val="28"/>
          <w:szCs w:val="28"/>
        </w:rPr>
        <w:t>von</w:t>
      </w:r>
      <w:proofErr w:type="spellEnd"/>
      <w:r w:rsidR="001957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Grenoble</w:t>
      </w:r>
      <w:r w:rsidR="00BC0508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(Frankreich), </w:t>
      </w:r>
      <w:r w:rsidR="0019577B"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stellvertretender Vorsitzender </w:t>
      </w:r>
      <w:proofErr w:type="spellStart"/>
      <w:r w:rsidR="0019577B">
        <w:rPr>
          <w:rFonts w:ascii="Arial" w:hAnsi="Arial" w:cs="Arial"/>
          <w:color w:val="000000" w:themeColor="text1"/>
          <w:sz w:val="28"/>
          <w:szCs w:val="28"/>
        </w:rPr>
        <w:t>von</w:t>
      </w:r>
      <w:proofErr w:type="spellEnd"/>
      <w:r w:rsidR="001957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Sunderland (Großbritannien),</w:t>
      </w:r>
      <w:r w:rsidR="0019577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19577B"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>stellvertretender Bürgermeister von</w:t>
      </w:r>
      <w:r w:rsidR="00C94753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Tampere (Finnland), </w:t>
      </w:r>
      <w:proofErr w:type="spellStart"/>
      <w:r w:rsidR="0019577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Studentin</w:t>
      </w:r>
      <w:proofErr w:type="spellEnd"/>
      <w:r w:rsidR="0019577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577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Polina</w:t>
      </w:r>
      <w:proofErr w:type="spellEnd"/>
      <w:r w:rsidR="0019577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577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Antropowa</w:t>
      </w:r>
      <w:proofErr w:type="spellEnd"/>
      <w:r w:rsidR="0019577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9577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aus</w:t>
      </w:r>
      <w:proofErr w:type="spellEnd"/>
      <w:r w:rsidR="0019577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Nischni</w:t>
      </w:r>
      <w:proofErr w:type="spellEnd"/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Nowgorod (Russland) und </w:t>
      </w:r>
      <w:r w:rsidR="0019577B"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stellvertretende Leiterin </w:t>
      </w:r>
      <w:proofErr w:type="spellStart"/>
      <w:r w:rsidR="0019577B">
        <w:rPr>
          <w:rFonts w:ascii="Arial" w:hAnsi="Arial" w:cs="Arial"/>
          <w:color w:val="000000" w:themeColor="text1"/>
          <w:sz w:val="28"/>
          <w:szCs w:val="28"/>
        </w:rPr>
        <w:t>von</w:t>
      </w:r>
      <w:proofErr w:type="spellEnd"/>
      <w:r w:rsidR="001957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Zabrze (Polen). Die Veranstaltung hat mit dem französischen Film „Les </w:t>
      </w:r>
      <w:proofErr w:type="spellStart"/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gardiennes</w:t>
      </w:r>
      <w:proofErr w:type="spellEnd"/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“ („The </w:t>
      </w:r>
      <w:proofErr w:type="spellStart"/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guardians</w:t>
      </w:r>
      <w:proofErr w:type="spellEnd"/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“)</w:t>
      </w:r>
      <w:r w:rsidR="00407B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07B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von</w:t>
      </w:r>
      <w:proofErr w:type="spellEnd"/>
      <w:r w:rsidR="00407B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07B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Xavier</w:t>
      </w:r>
      <w:proofErr w:type="spellEnd"/>
      <w:r w:rsidR="00407B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07B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Beauvois</w:t>
      </w:r>
      <w:proofErr w:type="spellEnd"/>
      <w:r w:rsidR="00C628D7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angefangen, worin</w:t>
      </w:r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es um </w:t>
      </w:r>
      <w:r w:rsidR="00BC0508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französische Frauen</w:t>
      </w:r>
      <w:r w:rsidR="00C94753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="00C628D7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ging</w:t>
      </w:r>
      <w:r w:rsidR="00BC0508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, die, während ihre Männer auf den Schlachtfeldern des Ersten </w:t>
      </w:r>
      <w:r w:rsidR="00C30CA9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Weltkriegs</w:t>
      </w:r>
      <w:r w:rsidR="00BC0508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kämpften und umkamen, gezwungen waren, stark zu bleiben, den Haushalt zu führen und reiche Ernte weiterhin zu bringen</w:t>
      </w:r>
      <w:r w:rsidR="00C628D7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. Dieser aufrichtige</w:t>
      </w:r>
      <w:r w:rsidR="00BA5989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und berührende Film hat zu einer lebhaften </w:t>
      </w:r>
      <w:r w:rsidR="00C628D7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Diskussion der Geschichtsfragen</w:t>
      </w:r>
      <w:r w:rsidR="00BA5989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auf Englisch geführt, die von Patrick </w:t>
      </w:r>
      <w:proofErr w:type="spellStart"/>
      <w:r w:rsidR="00BA5989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Wilking</w:t>
      </w:r>
      <w:proofErr w:type="spellEnd"/>
      <w:r w:rsidR="00BA5989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 xml:space="preserve"> (Radio Essen) moderiert wurde</w:t>
      </w:r>
      <w:r w:rsidR="00C628D7" w:rsidRPr="00C30CA9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>.</w:t>
      </w:r>
      <w:r w:rsidR="00C94753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</w:t>
      </w:r>
      <w:r w:rsidR="00C628D7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Polina </w:t>
      </w:r>
      <w:proofErr w:type="spellStart"/>
      <w:r w:rsidR="00C628D7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Antropowa</w:t>
      </w:r>
      <w:proofErr w:type="spellEnd"/>
      <w:r w:rsidR="00C628D7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, Pädagogik-</w:t>
      </w:r>
      <w:r w:rsidR="005469AC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Studentin der </w:t>
      </w:r>
      <w:proofErr w:type="spellStart"/>
      <w:r w:rsidR="005469AC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Minin</w:t>
      </w:r>
      <w:proofErr w:type="spellEnd"/>
      <w:r w:rsidR="005469AC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-Universität, eine der </w:t>
      </w:r>
      <w:r w:rsidR="00C628D7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Freiwilligen</w:t>
      </w:r>
      <w:r w:rsidR="005469AC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, die das</w:t>
      </w:r>
      <w:r w:rsidR="00C628D7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Soziale Jahr in Essen</w:t>
      </w:r>
      <w:r w:rsidR="005469AC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machen</w:t>
      </w:r>
      <w:r w:rsidR="00BA5989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,</w:t>
      </w:r>
      <w:r w:rsidR="00C628D7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hat im Glückauf Filmstudio </w:t>
      </w:r>
      <w:proofErr w:type="spellStart"/>
      <w:r w:rsidR="00BA5989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Nischni</w:t>
      </w:r>
      <w:proofErr w:type="spellEnd"/>
      <w:r w:rsidR="00BA5989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Nowgorod vertreten. </w:t>
      </w:r>
      <w:r w:rsidR="00C628D7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Das hat sie ausgezeichnet gemacht.</w:t>
      </w:r>
      <w:r w:rsidR="00BA5989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Die anderen drei Freiwilligen der </w:t>
      </w:r>
      <w:proofErr w:type="spellStart"/>
      <w:r w:rsidR="00BA5989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Lobatschewski</w:t>
      </w:r>
      <w:proofErr w:type="spellEnd"/>
      <w:r w:rsidR="00BA5989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- und </w:t>
      </w:r>
      <w:proofErr w:type="spellStart"/>
      <w:r w:rsidR="00BA5989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Minin</w:t>
      </w:r>
      <w:proofErr w:type="spellEnd"/>
      <w:r w:rsidR="00BA5989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-Universität und die beiden Pressepraktikantinnen der Linguistischen Universität hatten </w:t>
      </w:r>
      <w:r w:rsidR="008F1AF1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zusammen mit der Vorsitzenden der Gesellschaft Frau Lachhein </w:t>
      </w:r>
      <w:r w:rsidR="00BA5989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dafür eine Präsentation und </w:t>
      </w:r>
      <w:r w:rsidR="00C82BD8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einige</w:t>
      </w:r>
      <w:r w:rsidR="00BA5989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Fragen vorbereitet. Das war eine gut vorbereitete Gemeinschaftsarbeit zwischen </w:t>
      </w:r>
      <w:proofErr w:type="spellStart"/>
      <w:r w:rsidR="00C82BD8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Nischni</w:t>
      </w:r>
      <w:proofErr w:type="spellEnd"/>
      <w:r w:rsidR="00C82BD8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 Nowgorod und der Deutsch-Russischen Gesellschaft.</w:t>
      </w:r>
    </w:p>
    <w:p w:rsidR="001A030C" w:rsidRPr="00C30CA9" w:rsidRDefault="00C82BD8" w:rsidP="00BC050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</w:pPr>
      <w:r w:rsidRPr="00C30CA9">
        <w:rPr>
          <w:rFonts w:ascii="Arial" w:eastAsia="Times New Roman" w:hAnsi="Arial" w:cs="Arial"/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910838</wp:posOffset>
            </wp:positionH>
            <wp:positionV relativeFrom="paragraph">
              <wp:posOffset>138347</wp:posOffset>
            </wp:positionV>
            <wp:extent cx="4059970" cy="2703444"/>
            <wp:effectExtent l="19050" t="0" r="0" b="0"/>
            <wp:wrapNone/>
            <wp:docPr id="1" name="Рисунок 1" descr="C:\Users\anna\Desktop\Учеба\IMG_46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Учеба\IMG_46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70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30C" w:rsidRPr="00C30CA9" w:rsidRDefault="001A030C" w:rsidP="00BC0508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1A030C" w:rsidRPr="00C30CA9" w:rsidRDefault="001A030C" w:rsidP="00BC0508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BC0508" w:rsidRPr="00C30CA9" w:rsidRDefault="00BC0508" w:rsidP="00BC050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5469AC" w:rsidRPr="00C30CA9" w:rsidRDefault="005469AC" w:rsidP="00BC050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5469AC" w:rsidRPr="00C30CA9" w:rsidRDefault="005469AC" w:rsidP="00BC050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5469AC" w:rsidRPr="00C30CA9" w:rsidRDefault="005469AC" w:rsidP="00BC050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5469AC" w:rsidRPr="00C30CA9" w:rsidRDefault="005469AC" w:rsidP="00BC050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5469AC" w:rsidRPr="00C30CA9" w:rsidRDefault="005469AC" w:rsidP="00BC050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Bürgermeister Thomas Kufen; Bürgermeister von Grenoble; stellvertretender Vorsitzender von Sunderland; stellvertretender </w:t>
      </w:r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lastRenderedPageBreak/>
        <w:t xml:space="preserve">Bürgermeister von Tampere, zuständig für kulturelle Angelegenheiten; Polina </w:t>
      </w:r>
      <w:proofErr w:type="spellStart"/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>Antropowa</w:t>
      </w:r>
      <w:proofErr w:type="spellEnd"/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von </w:t>
      </w:r>
      <w:proofErr w:type="spellStart"/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>Nischni</w:t>
      </w:r>
      <w:proofErr w:type="spellEnd"/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Nowgorod; stellvertretende Leiterin von Zabrze</w:t>
      </w:r>
      <w:r w:rsidR="005469AC"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(v.l.n.r.)</w:t>
      </w:r>
    </w:p>
    <w:p w:rsidR="00C30CA9" w:rsidRDefault="00C30CA9" w:rsidP="00BC050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82BD8" w:rsidRPr="00C30CA9" w:rsidRDefault="00C82BD8" w:rsidP="00BC050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30CA9">
        <w:rPr>
          <w:rFonts w:ascii="Arial" w:hAnsi="Arial" w:cs="Arial"/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1014205</wp:posOffset>
            </wp:positionH>
            <wp:positionV relativeFrom="paragraph">
              <wp:posOffset>267003</wp:posOffset>
            </wp:positionV>
            <wp:extent cx="4059970" cy="3045350"/>
            <wp:effectExtent l="19050" t="0" r="0" b="0"/>
            <wp:wrapNone/>
            <wp:docPr id="2" name="Рисунок 2" descr="C:\Users\anna\Desktop\Учеба\IMG_46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Учеба\IMG_46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70" cy="304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BD8" w:rsidRPr="00C30CA9" w:rsidRDefault="00C82BD8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BC0508" w:rsidRPr="00C30CA9" w:rsidRDefault="00BC0508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5469AC" w:rsidRPr="00C30CA9" w:rsidRDefault="005469AC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5469AC" w:rsidRPr="00C30CA9" w:rsidRDefault="005469AC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5469AC" w:rsidRPr="00C30CA9" w:rsidRDefault="005469AC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:rsidR="00C82BD8" w:rsidRPr="00C30CA9" w:rsidRDefault="00C82BD8" w:rsidP="00BC0508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Patrick </w:t>
      </w:r>
      <w:proofErr w:type="spellStart"/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>Wilking</w:t>
      </w:r>
      <w:proofErr w:type="spellEnd"/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>, Moderator (Radio Essen)</w:t>
      </w:r>
      <w:r w:rsidR="008E5A89"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>;</w:t>
      </w:r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die Vertreter der jungen Generation von </w:t>
      </w:r>
      <w:proofErr w:type="spellStart"/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>Nischni</w:t>
      </w:r>
      <w:proofErr w:type="spellEnd"/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Nowgorod: Pavel, </w:t>
      </w:r>
      <w:r w:rsidR="008E5A89"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Anna, Jana, </w:t>
      </w:r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>Aleksa</w:t>
      </w:r>
      <w:r w:rsidR="008E5A89"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ndra, </w:t>
      </w:r>
      <w:r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>Polina</w:t>
      </w:r>
      <w:r w:rsidR="005469AC" w:rsidRPr="00C30CA9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(v.l.n.r.)</w:t>
      </w:r>
    </w:p>
    <w:p w:rsidR="00C82BD8" w:rsidRDefault="00C82BD8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  <w:r w:rsidRPr="00BC0508">
        <w:rPr>
          <w:rFonts w:ascii="Arial" w:hAnsi="Arial" w:cs="Arial"/>
          <w:sz w:val="28"/>
          <w:szCs w:val="28"/>
          <w:lang w:val="de-DE"/>
        </w:rPr>
        <w:tab/>
      </w:r>
    </w:p>
    <w:p w:rsid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</w:p>
    <w:p w:rsid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</w:p>
    <w:p w:rsid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</w:p>
    <w:p w:rsid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</w:p>
    <w:p w:rsid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</w:p>
    <w:p w:rsid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</w:p>
    <w:p w:rsid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</w:p>
    <w:p w:rsid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</w:p>
    <w:p w:rsid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</w:p>
    <w:p w:rsid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</w:p>
    <w:p w:rsidR="00C30CA9" w:rsidRPr="00C30CA9" w:rsidRDefault="00C30CA9" w:rsidP="00C82BD8">
      <w:pPr>
        <w:tabs>
          <w:tab w:val="left" w:pos="217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 ноября 2018 года в кинотеатре «</w:t>
      </w:r>
      <w:proofErr w:type="spellStart"/>
      <w:r>
        <w:rPr>
          <w:rFonts w:ascii="Arial" w:hAnsi="Arial" w:cs="Arial"/>
          <w:sz w:val="28"/>
          <w:szCs w:val="28"/>
        </w:rPr>
        <w:t>Glückauf</w:t>
      </w:r>
      <w:proofErr w:type="spellEnd"/>
      <w:r>
        <w:rPr>
          <w:rFonts w:ascii="Arial" w:hAnsi="Arial" w:cs="Arial"/>
          <w:sz w:val="28"/>
          <w:szCs w:val="28"/>
        </w:rPr>
        <w:t>», одном из старейших кинотеатров Германии, прошло мероприятие, посвященное столетию окончания Первой Мировой войны. На торжество были приглашены представители городов-побратимов города Эссен</w:t>
      </w:r>
      <w:r w:rsidR="0019577B">
        <w:rPr>
          <w:rFonts w:ascii="Arial" w:hAnsi="Arial" w:cs="Arial"/>
          <w:sz w:val="28"/>
          <w:szCs w:val="28"/>
        </w:rPr>
        <w:t xml:space="preserve">: Гренобль (Франция), </w:t>
      </w:r>
      <w:proofErr w:type="spellStart"/>
      <w:r w:rsidR="0019577B">
        <w:rPr>
          <w:rFonts w:ascii="Arial" w:hAnsi="Arial" w:cs="Arial"/>
          <w:sz w:val="28"/>
          <w:szCs w:val="28"/>
        </w:rPr>
        <w:t>Сандерлэнд</w:t>
      </w:r>
      <w:proofErr w:type="spellEnd"/>
      <w:r w:rsidR="0019577B">
        <w:rPr>
          <w:rFonts w:ascii="Arial" w:hAnsi="Arial" w:cs="Arial"/>
          <w:sz w:val="28"/>
          <w:szCs w:val="28"/>
        </w:rPr>
        <w:t xml:space="preserve"> (Великобритания), Тампере (Финляндия), Нижний Новгород (Россия) и Забже (Польша). Мероприятие началось с показа французского фильма </w:t>
      </w:r>
      <w:r w:rsidR="00407B5E">
        <w:rPr>
          <w:rFonts w:ascii="Arial" w:hAnsi="Arial" w:cs="Arial"/>
          <w:sz w:val="28"/>
          <w:szCs w:val="28"/>
        </w:rPr>
        <w:t>«Хранительницы» (</w:t>
      </w:r>
      <w:r w:rsidR="00407B5E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 xml:space="preserve">„Les </w:t>
      </w:r>
      <w:proofErr w:type="spellStart"/>
      <w:r w:rsidR="00407B5E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gardiennes</w:t>
      </w:r>
      <w:proofErr w:type="spellEnd"/>
      <w:r w:rsidR="00407B5E" w:rsidRPr="00C30CA9">
        <w:rPr>
          <w:rFonts w:ascii="Arial" w:eastAsia="Times New Roman" w:hAnsi="Arial" w:cs="Arial"/>
          <w:color w:val="000000" w:themeColor="text1"/>
          <w:sz w:val="28"/>
          <w:szCs w:val="28"/>
          <w:lang w:val="de-DE" w:eastAsia="ru-RU"/>
        </w:rPr>
        <w:t>“</w:t>
      </w:r>
      <w:r w:rsidR="00407B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</w:t>
      </w:r>
      <w:r w:rsidR="00407B5E">
        <w:rPr>
          <w:rFonts w:ascii="Arial" w:hAnsi="Arial" w:cs="Arial"/>
          <w:sz w:val="28"/>
          <w:szCs w:val="28"/>
        </w:rPr>
        <w:t xml:space="preserve"> режиссера </w:t>
      </w:r>
      <w:proofErr w:type="spellStart"/>
      <w:r w:rsidR="00407B5E">
        <w:rPr>
          <w:rFonts w:ascii="Arial" w:hAnsi="Arial" w:cs="Arial"/>
          <w:sz w:val="28"/>
          <w:szCs w:val="28"/>
        </w:rPr>
        <w:t>Ксавье</w:t>
      </w:r>
      <w:proofErr w:type="spellEnd"/>
      <w:r w:rsidR="00407B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7B5E">
        <w:rPr>
          <w:rFonts w:ascii="Arial" w:hAnsi="Arial" w:cs="Arial"/>
          <w:sz w:val="28"/>
          <w:szCs w:val="28"/>
        </w:rPr>
        <w:t>Бовуа</w:t>
      </w:r>
      <w:proofErr w:type="spellEnd"/>
      <w:r w:rsidR="00407B5E">
        <w:rPr>
          <w:rFonts w:ascii="Arial" w:hAnsi="Arial" w:cs="Arial"/>
          <w:sz w:val="28"/>
          <w:szCs w:val="28"/>
        </w:rPr>
        <w:t xml:space="preserve"> с английскими субтитрами. Картина рассказывает о тяжелой судьбе французских женщин, на чьи хрупкие плечи пали все заботы о хозяйстве и урожае, в то время как их мужья сражались и умирали на полях Первой Мировой войны. Фильм произвел впечатление на зрителей, напомнив о тягостях и потерях в это непростое для всей Европы время, но также дал начало живому обсуждению </w:t>
      </w:r>
      <w:r w:rsidR="009D22C9">
        <w:rPr>
          <w:rFonts w:ascii="Arial" w:hAnsi="Arial" w:cs="Arial"/>
          <w:sz w:val="28"/>
          <w:szCs w:val="28"/>
        </w:rPr>
        <w:t xml:space="preserve">вопросов истории и памяти Первой Мировой войны. Дискуссию на английском языке вел Патрик </w:t>
      </w:r>
      <w:proofErr w:type="spellStart"/>
      <w:r w:rsidR="009D22C9">
        <w:rPr>
          <w:rFonts w:ascii="Arial" w:hAnsi="Arial" w:cs="Arial"/>
          <w:sz w:val="28"/>
          <w:szCs w:val="28"/>
        </w:rPr>
        <w:t>Вилькинг</w:t>
      </w:r>
      <w:proofErr w:type="spellEnd"/>
      <w:r w:rsidR="009D22C9">
        <w:rPr>
          <w:rFonts w:ascii="Arial" w:hAnsi="Arial" w:cs="Arial"/>
          <w:sz w:val="28"/>
          <w:szCs w:val="28"/>
        </w:rPr>
        <w:t xml:space="preserve">, ведущий радио города Эссен. Нижний Новгород представляла студентка </w:t>
      </w:r>
      <w:proofErr w:type="spellStart"/>
      <w:r w:rsidR="009D22C9">
        <w:rPr>
          <w:rFonts w:ascii="Arial" w:hAnsi="Arial" w:cs="Arial"/>
          <w:sz w:val="28"/>
          <w:szCs w:val="28"/>
        </w:rPr>
        <w:t>Мининского</w:t>
      </w:r>
      <w:proofErr w:type="spellEnd"/>
      <w:r w:rsidR="009D22C9">
        <w:rPr>
          <w:rFonts w:ascii="Arial" w:hAnsi="Arial" w:cs="Arial"/>
          <w:sz w:val="28"/>
          <w:szCs w:val="28"/>
        </w:rPr>
        <w:t xml:space="preserve"> Университета Полина Антропова, которая в качестве волонтера занимается социальной работой в Эссене. </w:t>
      </w:r>
      <w:r w:rsidR="001B0E54" w:rsidRPr="001B0E54">
        <w:rPr>
          <w:rFonts w:ascii="Arial" w:hAnsi="Arial" w:cs="Arial"/>
          <w:sz w:val="28"/>
          <w:szCs w:val="28"/>
        </w:rPr>
        <w:t>Вместе с председателем общества</w:t>
      </w:r>
      <w:r w:rsidR="001B0E54">
        <w:rPr>
          <w:rFonts w:ascii="Arial" w:hAnsi="Arial" w:cs="Arial"/>
          <w:sz w:val="28"/>
          <w:szCs w:val="28"/>
        </w:rPr>
        <w:t xml:space="preserve"> профессор Барбара </w:t>
      </w:r>
      <w:proofErr w:type="spellStart"/>
      <w:r w:rsidR="001B0E54">
        <w:rPr>
          <w:rFonts w:ascii="Arial" w:hAnsi="Arial" w:cs="Arial"/>
          <w:sz w:val="28"/>
          <w:szCs w:val="28"/>
        </w:rPr>
        <w:t>Лахгайн</w:t>
      </w:r>
      <w:proofErr w:type="spellEnd"/>
      <w:r w:rsidR="001B0E54">
        <w:rPr>
          <w:rFonts w:ascii="Arial" w:hAnsi="Arial" w:cs="Arial"/>
          <w:sz w:val="28"/>
          <w:szCs w:val="28"/>
        </w:rPr>
        <w:t>, д</w:t>
      </w:r>
      <w:bookmarkStart w:id="0" w:name="_GoBack"/>
      <w:bookmarkEnd w:id="0"/>
      <w:r w:rsidR="001A1298">
        <w:rPr>
          <w:rFonts w:ascii="Arial" w:hAnsi="Arial" w:cs="Arial"/>
          <w:sz w:val="28"/>
          <w:szCs w:val="28"/>
        </w:rPr>
        <w:t>ругие</w:t>
      </w:r>
      <w:r w:rsidR="00AA625D">
        <w:rPr>
          <w:rFonts w:ascii="Arial" w:hAnsi="Arial" w:cs="Arial"/>
          <w:sz w:val="28"/>
          <w:szCs w:val="28"/>
        </w:rPr>
        <w:t xml:space="preserve"> волонтеры из </w:t>
      </w:r>
      <w:proofErr w:type="spellStart"/>
      <w:r w:rsidR="009D22C9">
        <w:rPr>
          <w:rFonts w:ascii="Arial" w:hAnsi="Arial" w:cs="Arial"/>
          <w:sz w:val="28"/>
          <w:szCs w:val="28"/>
        </w:rPr>
        <w:t>Мининского</w:t>
      </w:r>
      <w:proofErr w:type="spellEnd"/>
      <w:r w:rsidR="009D22C9">
        <w:rPr>
          <w:rFonts w:ascii="Arial" w:hAnsi="Arial" w:cs="Arial"/>
          <w:sz w:val="28"/>
          <w:szCs w:val="28"/>
        </w:rPr>
        <w:t xml:space="preserve"> Университета и Университета им. Н. И. Лобачевского</w:t>
      </w:r>
      <w:r w:rsidR="00AA625D">
        <w:rPr>
          <w:rFonts w:ascii="Arial" w:hAnsi="Arial" w:cs="Arial"/>
          <w:sz w:val="28"/>
          <w:szCs w:val="28"/>
        </w:rPr>
        <w:t xml:space="preserve"> </w:t>
      </w:r>
      <w:r w:rsidR="009D22C9">
        <w:rPr>
          <w:rFonts w:ascii="Arial" w:hAnsi="Arial" w:cs="Arial"/>
          <w:sz w:val="28"/>
          <w:szCs w:val="28"/>
        </w:rPr>
        <w:t>и студентки Лингвистического Университета им. Н. А. Добролюбова</w:t>
      </w:r>
      <w:r w:rsidR="00AA625D">
        <w:rPr>
          <w:rFonts w:ascii="Arial" w:hAnsi="Arial" w:cs="Arial"/>
          <w:sz w:val="28"/>
          <w:szCs w:val="28"/>
        </w:rPr>
        <w:t>, проходящие журналистскую практику в газете «NRZ», подготовили презентацию</w:t>
      </w:r>
      <w:r w:rsidR="001A1298">
        <w:rPr>
          <w:rFonts w:ascii="Arial" w:hAnsi="Arial" w:cs="Arial"/>
          <w:sz w:val="28"/>
          <w:szCs w:val="28"/>
        </w:rPr>
        <w:t xml:space="preserve"> о </w:t>
      </w:r>
      <w:r w:rsidR="00AA625D">
        <w:rPr>
          <w:rFonts w:ascii="Arial" w:hAnsi="Arial" w:cs="Arial"/>
          <w:sz w:val="28"/>
          <w:szCs w:val="28"/>
        </w:rPr>
        <w:t>Восточном фронте и последствиях этой войны в России. Благодаря совместным усилиям Общества Русско-Немецких Встреч и молодежи Нижнего Новгорода представители других город</w:t>
      </w:r>
      <w:r w:rsidR="001A1298">
        <w:rPr>
          <w:rFonts w:ascii="Arial" w:hAnsi="Arial" w:cs="Arial"/>
          <w:sz w:val="28"/>
          <w:szCs w:val="28"/>
        </w:rPr>
        <w:t>ов</w:t>
      </w:r>
      <w:r w:rsidR="00AA625D">
        <w:rPr>
          <w:rFonts w:ascii="Arial" w:hAnsi="Arial" w:cs="Arial"/>
          <w:sz w:val="28"/>
          <w:szCs w:val="28"/>
        </w:rPr>
        <w:t xml:space="preserve"> имели возможность познакомиться с культурой памяти о Первой Мировой войне в России.  </w:t>
      </w:r>
    </w:p>
    <w:sectPr w:rsidR="00C30CA9" w:rsidRPr="00C30CA9" w:rsidSect="0076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0C"/>
    <w:rsid w:val="0019577B"/>
    <w:rsid w:val="001A030C"/>
    <w:rsid w:val="001A1298"/>
    <w:rsid w:val="001B0E54"/>
    <w:rsid w:val="00407B5E"/>
    <w:rsid w:val="005469AC"/>
    <w:rsid w:val="00571D16"/>
    <w:rsid w:val="007614D7"/>
    <w:rsid w:val="007B697C"/>
    <w:rsid w:val="008D220B"/>
    <w:rsid w:val="008E5A89"/>
    <w:rsid w:val="008F1AF1"/>
    <w:rsid w:val="009D22C9"/>
    <w:rsid w:val="00A83502"/>
    <w:rsid w:val="00AA625D"/>
    <w:rsid w:val="00BA5989"/>
    <w:rsid w:val="00BC0508"/>
    <w:rsid w:val="00C30CA9"/>
    <w:rsid w:val="00C628D7"/>
    <w:rsid w:val="00C82BD8"/>
    <w:rsid w:val="00C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4D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4D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8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8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Муравьева</dc:creator>
  <cp:lastModifiedBy>Barbara Lachhein</cp:lastModifiedBy>
  <cp:revision>2</cp:revision>
  <dcterms:created xsi:type="dcterms:W3CDTF">2018-11-14T07:33:00Z</dcterms:created>
  <dcterms:modified xsi:type="dcterms:W3CDTF">2018-11-14T07:33:00Z</dcterms:modified>
</cp:coreProperties>
</file>